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bookmarkStart w:id="0" w:name="_GoBack" w:displacedByCustomXml="prev"/>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bookmarkEnd w:id="0"/>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587DCB02">
                    <wp:simplePos x="0" y="0"/>
                    <wp:positionH relativeFrom="margin">
                      <wp:posOffset>-34925</wp:posOffset>
                    </wp:positionH>
                    <wp:positionV relativeFrom="page">
                      <wp:posOffset>2706370</wp:posOffset>
                    </wp:positionV>
                    <wp:extent cx="4686300" cy="1100455"/>
                    <wp:effectExtent l="0" t="0" r="889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40F0CC81" w:rsidR="0021204B" w:rsidRPr="00381A67" w:rsidRDefault="00C8517C" w:rsidP="0064350B">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4350B">
                                      <w:t>ProvenDB for Provable Open Banking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75pt;margin-top:213.1pt;width:369pt;height:86.65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" filled="f" stroked="f" strokeweight=".5pt">
                    <v:textbox inset="0,0,0,0">
                      <w:txbxContent>
                        <w:p w14:paraId="6722D03E" w14:textId="40F0CC81" w:rsidR="0021204B" w:rsidRPr="00381A67" w:rsidRDefault="004D397B" w:rsidP="0064350B">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4350B">
                                <w:t>ProvenDB for Provable Open Banking</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1FA9F6E6" w14:textId="39C8AE21" w:rsidR="001C09C1" w:rsidRPr="00381A67" w:rsidRDefault="0064350B" w:rsidP="0064350B">
      <w:pPr>
        <w:pStyle w:val="Title"/>
      </w:pPr>
      <w:r>
        <w:t>ProvenDB for Provable Open Banking</w:t>
      </w:r>
      <w:r w:rsidRPr="00381A67">
        <w:t xml:space="preserve"> </w:t>
      </w:r>
    </w:p>
    <w:p w14:paraId="56719E62" w14:textId="1D589DD7" w:rsidR="001C09C1" w:rsidRPr="00DA781E" w:rsidRDefault="00D04BD8" w:rsidP="00A315AD">
      <w:pPr>
        <w:pStyle w:val="Heading1"/>
      </w:pPr>
      <w:r>
        <w:t>Background</w:t>
      </w:r>
    </w:p>
    <w:p w14:paraId="72CA6B82" w14:textId="77777777" w:rsidR="0064350B" w:rsidRPr="0064350B" w:rsidRDefault="0064350B" w:rsidP="0064350B">
      <w:pPr>
        <w:rPr>
          <w:lang w:val="en-AU"/>
        </w:rPr>
      </w:pPr>
      <w:r w:rsidRPr="0064350B">
        <w:rPr>
          <w:lang w:val="en-AU"/>
        </w:rPr>
        <w:t xml:space="preserve">Open Banking represents a paradigm shift for data in Australia, with massive implications for regulators, consumers, and banking service providers. </w:t>
      </w:r>
      <w:del w:id="1" w:author="Ignatius Bourke" w:date="2020-02-11T16:37:00Z">
        <w:r w:rsidRPr="0064350B" w:rsidDel="00F50B0E">
          <w:rPr>
            <w:lang w:val="en-AU"/>
          </w:rPr>
          <w:delText xml:space="preserve">   </w:delText>
        </w:r>
      </w:del>
      <w:r w:rsidRPr="0064350B">
        <w:rPr>
          <w:lang w:val="en-AU"/>
        </w:rPr>
        <w:t xml:space="preserve">Open Banking and the Consumer Data Right (CDR) aims to increase consumer control over data and to encourage competition and transparency between service providers. </w:t>
      </w:r>
    </w:p>
    <w:p w14:paraId="5A8B53AF" w14:textId="77AA3806" w:rsidR="0064350B" w:rsidRPr="0064350B" w:rsidRDefault="0064350B" w:rsidP="0064350B">
      <w:pPr>
        <w:rPr>
          <w:lang w:val="en-AU"/>
        </w:rPr>
      </w:pPr>
      <w:r w:rsidRPr="0064350B">
        <w:rPr>
          <w:lang w:val="en-AU"/>
        </w:rPr>
        <w:t>Although the CDR assumes and requires a high level of data integrity, the mechanisms for data integrity are not defined within the CDR, leading to the risk of disputes or inconsistent data between providers, consumers</w:t>
      </w:r>
      <w:del w:id="2" w:author="Ignatius Bourke" w:date="2020-02-11T16:37:00Z">
        <w:r w:rsidRPr="0064350B" w:rsidDel="00F50B0E">
          <w:rPr>
            <w:lang w:val="en-AU"/>
          </w:rPr>
          <w:delText>,</w:delText>
        </w:r>
      </w:del>
      <w:r w:rsidRPr="0064350B">
        <w:rPr>
          <w:lang w:val="en-AU"/>
        </w:rPr>
        <w:t xml:space="preserve"> and regulators.</w:t>
      </w:r>
      <w:del w:id="3" w:author="Ignatius Bourke" w:date="2020-02-11T16:37:00Z">
        <w:r w:rsidRPr="0064350B" w:rsidDel="00F50B0E">
          <w:rPr>
            <w:lang w:val="en-AU"/>
          </w:rPr>
          <w:delText xml:space="preserve"> </w:delText>
        </w:r>
      </w:del>
      <w:ins w:id="4" w:author="Ignatius Bourke" w:date="2020-02-11T16:37:00Z">
        <w:r w:rsidR="00F50B0E">
          <w:rPr>
            <w:lang w:val="en-AU"/>
          </w:rPr>
          <w:t xml:space="preserve"> </w:t>
        </w:r>
      </w:ins>
      <w:del w:id="5" w:author="Ignatius Bourke" w:date="2020-02-11T16:37:00Z">
        <w:r w:rsidRPr="0064350B" w:rsidDel="00F50B0E">
          <w:rPr>
            <w:lang w:val="en-AU"/>
          </w:rPr>
          <w:delText xml:space="preserve"> </w:delText>
        </w:r>
      </w:del>
      <w:r w:rsidRPr="0064350B">
        <w:rPr>
          <w:lang w:val="en-AU"/>
        </w:rPr>
        <w:t xml:space="preserve">In the worst of all possible worlds, there might be no indisputable resolution mechanism for disputes relating to data accuracy or to definitely prove the absence of tampering or other faults of commission or omission.  </w:t>
      </w:r>
    </w:p>
    <w:p w14:paraId="7A025D56" w14:textId="0447721E" w:rsidR="00616F76" w:rsidRDefault="0064350B" w:rsidP="0064350B">
      <w:pPr>
        <w:rPr>
          <w:lang w:val="en-AU"/>
        </w:rPr>
      </w:pPr>
      <w:proofErr w:type="gramStart"/>
      <w:r w:rsidRPr="0064350B">
        <w:rPr>
          <w:lang w:val="en-AU"/>
        </w:rPr>
        <w:t>Blockchain  technologies</w:t>
      </w:r>
      <w:proofErr w:type="gramEnd"/>
      <w:r w:rsidRPr="0064350B">
        <w:rPr>
          <w:lang w:val="en-AU"/>
        </w:rPr>
        <w:t xml:space="preserve"> represent a quantum leap forward for data ownership, transparency, and tamper resistance.  For this reason, we believe that the addition of </w:t>
      </w:r>
      <w:proofErr w:type="gramStart"/>
      <w:r w:rsidRPr="0064350B">
        <w:rPr>
          <w:lang w:val="en-AU"/>
        </w:rPr>
        <w:t>Blockchain  technology</w:t>
      </w:r>
      <w:proofErr w:type="gramEnd"/>
      <w:r w:rsidRPr="0064350B">
        <w:rPr>
          <w:lang w:val="en-AU"/>
        </w:rPr>
        <w:t xml:space="preserve"> to CDR and Open Banking will result in a superior solution</w:t>
      </w:r>
      <w:r w:rsidR="00616F76" w:rsidRPr="00616F76">
        <w:rPr>
          <w:lang w:val="en-AU"/>
        </w:rPr>
        <w:t xml:space="preserve">.  </w:t>
      </w:r>
    </w:p>
    <w:p w14:paraId="2EAD8C14" w14:textId="7F112C31" w:rsidR="00616F76" w:rsidRDefault="00616F76" w:rsidP="00616F76">
      <w:pPr>
        <w:rPr>
          <w:lang w:val="en-AU"/>
        </w:rPr>
      </w:pPr>
      <w:r w:rsidRPr="00581C9F">
        <w:rPr>
          <w:b/>
          <w:bCs/>
          <w:lang w:val="en-AU"/>
        </w:rPr>
        <w:t>ProvenDB Compliance Vault</w:t>
      </w:r>
      <w:r>
        <w:rPr>
          <w:lang w:val="en-AU"/>
        </w:rPr>
        <w:t xml:space="preserve"> is a cost-effective software solution that provides a tamper-resistant digital store for your critical compliance information.  The ownership and creation date of information stored in ProvenDB Compliance Vault can be definitively proven by stringent industry-standard cryptography. </w:t>
      </w:r>
      <w:del w:id="6" w:author="Ignatius Bourke" w:date="2020-02-11T16:38:00Z">
        <w:r w:rsidDel="00F50B0E">
          <w:rPr>
            <w:lang w:val="en-AU"/>
          </w:rPr>
          <w:delText xml:space="preserve">  </w:delText>
        </w:r>
      </w:del>
      <w:r>
        <w:rPr>
          <w:lang w:val="en-AU"/>
        </w:rPr>
        <w:t>With ProvenDB Compliance Vault</w:t>
      </w:r>
      <w:r w:rsidR="0026055D">
        <w:rPr>
          <w:lang w:val="en-AU"/>
        </w:rPr>
        <w:t>,</w:t>
      </w:r>
      <w:r>
        <w:rPr>
          <w:lang w:val="en-AU"/>
        </w:rPr>
        <w:t xml:space="preserve"> you can be certain that your compliance data will satisfy the most rigorous compliance audit. </w:t>
      </w:r>
    </w:p>
    <w:p w14:paraId="4CAFD8A6" w14:textId="37EDDC46" w:rsidR="00DA781E" w:rsidRPr="00DA781E" w:rsidRDefault="0064350B" w:rsidP="00A315AD">
      <w:pPr>
        <w:pStyle w:val="Heading1"/>
      </w:pPr>
      <w:r>
        <w:t>Open Banking, Blockchain and ProvenDB</w:t>
      </w:r>
    </w:p>
    <w:p w14:paraId="425A3F5A" w14:textId="77777777" w:rsidR="0064350B" w:rsidRPr="00F37FE7" w:rsidRDefault="0064350B" w:rsidP="00F37FE7">
      <w:pPr>
        <w:rPr>
          <w:rFonts w:eastAsia="Times New Roman" w:cs="Times New Roman"/>
        </w:rPr>
      </w:pPr>
      <w:r w:rsidRPr="00F37FE7">
        <w:t>The problem with integrating Blockchain technologies with Open Banking is that the Blockchain is too expensive, slow, and overly complicated to function as a database. These problems are resolved by</w:t>
      </w:r>
      <w:r w:rsidRPr="00F37FE7">
        <w:rPr>
          <w:rFonts w:eastAsia="Times New Roman" w:cs="Times New Roman"/>
        </w:rPr>
        <w:t xml:space="preserve"> ProvenDB. </w:t>
      </w:r>
      <w:del w:id="7" w:author="Ignatius Bourke" w:date="2020-02-11T16:38:00Z">
        <w:r w:rsidRPr="00F37FE7" w:rsidDel="00F50B0E">
          <w:rPr>
            <w:rFonts w:eastAsia="Times New Roman" w:cs="Times New Roman"/>
          </w:rPr>
          <w:delText xml:space="preserve"> </w:delText>
        </w:r>
      </w:del>
      <w:r w:rsidRPr="00F37FE7">
        <w:rPr>
          <w:rFonts w:eastAsia="Times New Roman" w:cs="Times New Roman"/>
        </w:rPr>
        <w:t>ProvenDB creates a bridge between traditional database technologies and the Blockchain, allowing for the throughput and low cost of a modern database with the immutability of the Blockchain.</w:t>
      </w:r>
    </w:p>
    <w:p w14:paraId="1B3D3AE3" w14:textId="5B219CCA" w:rsidR="0064350B" w:rsidRPr="00F37FE7" w:rsidRDefault="0064350B" w:rsidP="00F37FE7">
      <w:pPr>
        <w:rPr>
          <w:rFonts w:eastAsia="Times New Roman" w:cs="Times New Roman"/>
        </w:rPr>
      </w:pPr>
      <w:r w:rsidRPr="00F37FE7">
        <w:rPr>
          <w:rFonts w:eastAsia="Times New Roman" w:cs="Times New Roman"/>
        </w:rPr>
        <w:t xml:space="preserve">ProvenDB augments the popular MongoDB document database with the public Ethereum or Bitcoin Blockchains. </w:t>
      </w:r>
      <w:del w:id="8" w:author="Ignatius Bourke" w:date="2020-02-11T16:42:00Z">
        <w:r w:rsidRPr="00F37FE7" w:rsidDel="00F50B0E">
          <w:rPr>
            <w:rFonts w:eastAsia="Times New Roman" w:cs="Times New Roman"/>
          </w:rPr>
          <w:delText xml:space="preserve"> </w:delText>
        </w:r>
      </w:del>
      <w:r w:rsidRPr="00F37FE7">
        <w:rPr>
          <w:rFonts w:eastAsia="Times New Roman" w:cs="Times New Roman"/>
        </w:rPr>
        <w:t xml:space="preserve">Updates to the ProvenDB database create new versions of existing data.  These versions can be economically and efficiently “proved” to the Blockchain by creating a hash tree that links potentially hundreds of thousands of documents to an immutable root hash stored on the Blockchain. </w:t>
      </w:r>
      <w:del w:id="9" w:author="Ignatius Bourke" w:date="2020-02-11T16:42:00Z">
        <w:r w:rsidRPr="00F37FE7" w:rsidDel="00F50B0E">
          <w:rPr>
            <w:rFonts w:eastAsia="Times New Roman" w:cs="Times New Roman"/>
          </w:rPr>
          <w:delText xml:space="preserve"> </w:delText>
        </w:r>
      </w:del>
      <w:r w:rsidRPr="00F37FE7">
        <w:rPr>
          <w:rFonts w:eastAsia="Times New Roman" w:cs="Times New Roman"/>
        </w:rPr>
        <w:t>This root hash can be used to validate the origin</w:t>
      </w:r>
      <w:ins w:id="10" w:author="Ignatius Bourke" w:date="2020-02-11T16:42:00Z">
        <w:r w:rsidR="00F50B0E">
          <w:rPr>
            <w:rFonts w:eastAsia="Times New Roman" w:cs="Times New Roman"/>
          </w:rPr>
          <w:t>,</w:t>
        </w:r>
      </w:ins>
      <w:r w:rsidRPr="00F37FE7">
        <w:rPr>
          <w:rFonts w:eastAsia="Times New Roman" w:cs="Times New Roman"/>
        </w:rPr>
        <w:t xml:space="preserve"> time and integrity of the entire database version</w:t>
      </w:r>
      <w:ins w:id="11" w:author="Ignatius Bourke" w:date="2020-02-11T16:42:00Z">
        <w:r w:rsidR="00F50B0E">
          <w:rPr>
            <w:rFonts w:eastAsia="Times New Roman" w:cs="Times New Roman"/>
          </w:rPr>
          <w:t>,</w:t>
        </w:r>
      </w:ins>
      <w:r w:rsidRPr="00F37FE7">
        <w:rPr>
          <w:rFonts w:eastAsia="Times New Roman" w:cs="Times New Roman"/>
        </w:rPr>
        <w:t xml:space="preserve"> or of any individual document. </w:t>
      </w:r>
      <w:del w:id="12" w:author="Ignatius Bourke" w:date="2020-02-11T16:42:00Z">
        <w:r w:rsidRPr="00F37FE7" w:rsidDel="00F50B0E">
          <w:rPr>
            <w:rFonts w:eastAsia="Times New Roman" w:cs="Times New Roman"/>
          </w:rPr>
          <w:delText xml:space="preserve"> </w:delText>
        </w:r>
      </w:del>
      <w:r w:rsidRPr="00F37FE7">
        <w:rPr>
          <w:rFonts w:eastAsia="Times New Roman" w:cs="Times New Roman"/>
        </w:rPr>
        <w:t>These proofs can be combined with PKI digital signatures to prove the ownership of the transactions as well</w:t>
      </w:r>
      <w:r w:rsidRPr="00F37FE7">
        <w:rPr>
          <w:rStyle w:val="FootnoteReference"/>
          <w:rFonts w:eastAsia="Times New Roman" w:cs="Times New Roman"/>
        </w:rPr>
        <w:footnoteReference w:id="1"/>
      </w:r>
      <w:r w:rsidRPr="00F37FE7">
        <w:rPr>
          <w:rFonts w:eastAsia="Times New Roman" w:cs="Times New Roman"/>
        </w:rPr>
        <w:t xml:space="preserve">.  </w:t>
      </w:r>
    </w:p>
    <w:p w14:paraId="478B5079" w14:textId="1D27A0B7" w:rsidR="0064350B" w:rsidRPr="00F37FE7" w:rsidRDefault="0064350B" w:rsidP="0064350B">
      <w:pPr>
        <w:rPr>
          <w:rFonts w:eastAsia="Times New Roman" w:cs="Times New Roman"/>
        </w:rPr>
      </w:pPr>
      <w:r w:rsidRPr="00F37FE7">
        <w:rPr>
          <w:rFonts w:eastAsia="Times New Roman" w:cs="Times New Roman"/>
        </w:rPr>
        <w:lastRenderedPageBreak/>
        <w:t xml:space="preserve">In short, a ProvenDB database can irrefutably prove the “who, what, and when” of every data element stored in the database. </w:t>
      </w:r>
    </w:p>
    <w:p w14:paraId="469B06ED" w14:textId="61493F12" w:rsidR="0064350B" w:rsidRPr="006D3F64" w:rsidRDefault="0064350B" w:rsidP="0064350B">
      <w:pPr>
        <w:pStyle w:val="Heading1"/>
      </w:pPr>
      <w:r>
        <w:t>Benefits</w:t>
      </w:r>
    </w:p>
    <w:p w14:paraId="44658B30" w14:textId="3388D351" w:rsidR="0064350B" w:rsidRPr="006D3F64" w:rsidRDefault="0064350B" w:rsidP="0064350B">
      <w:r w:rsidRPr="006D3F64">
        <w:t xml:space="preserve">The primary benefit of </w:t>
      </w:r>
      <w:r>
        <w:t>integrating</w:t>
      </w:r>
      <w:r w:rsidRPr="006D3F64">
        <w:t xml:space="preserve"> ProvenDB </w:t>
      </w:r>
      <w:r>
        <w:t>with an</w:t>
      </w:r>
      <w:r w:rsidRPr="006D3F64">
        <w:t xml:space="preserve"> Open Banking Solution is the ability to prove</w:t>
      </w:r>
      <w:r>
        <w:t xml:space="preserve"> </w:t>
      </w:r>
      <w:r w:rsidRPr="006D3F64">
        <w:t xml:space="preserve">beyond doubt </w:t>
      </w:r>
      <w:r>
        <w:t>the origin</w:t>
      </w:r>
      <w:ins w:id="13" w:author="Ignatius Bourke" w:date="2020-02-11T16:43:00Z">
        <w:r w:rsidR="00F50B0E">
          <w:t>,</w:t>
        </w:r>
      </w:ins>
      <w:r>
        <w:t xml:space="preserve"> time and integrity of any CDR data transaction at any point within the CDR lifecycle</w:t>
      </w:r>
      <w:r w:rsidRPr="006D3F64">
        <w:t>.</w:t>
      </w:r>
    </w:p>
    <w:p w14:paraId="06998928" w14:textId="77777777" w:rsidR="0064350B" w:rsidRPr="006D3F64" w:rsidRDefault="0064350B" w:rsidP="0064350B">
      <w:r>
        <w:t>Specifically:</w:t>
      </w:r>
    </w:p>
    <w:p w14:paraId="4B2F7968" w14:textId="77777777" w:rsidR="0064350B" w:rsidRPr="006D3F64" w:rsidRDefault="0064350B" w:rsidP="0064350B">
      <w:pPr>
        <w:pStyle w:val="ListParagraph"/>
        <w:numPr>
          <w:ilvl w:val="0"/>
          <w:numId w:val="9"/>
        </w:numPr>
      </w:pPr>
      <w:r>
        <w:t xml:space="preserve">For regulators, the existence of an immutable and tamper-resistant record of CDR transactions will ensure a higher degree of compliance and will reduce the overhead of audit and verification processes. </w:t>
      </w:r>
    </w:p>
    <w:p w14:paraId="77515542" w14:textId="77777777" w:rsidR="0064350B" w:rsidRDefault="0064350B" w:rsidP="0064350B">
      <w:pPr>
        <w:pStyle w:val="ListParagraph"/>
        <w:numPr>
          <w:ilvl w:val="0"/>
          <w:numId w:val="9"/>
        </w:numPr>
      </w:pPr>
      <w:r>
        <w:t xml:space="preserve">For consumers, the sure knowledge that their CDR transactions are traceable and immutable will increase confidence in the open banking process and encourage participation. </w:t>
      </w:r>
    </w:p>
    <w:p w14:paraId="0640B3F3" w14:textId="77777777" w:rsidR="0064350B" w:rsidRPr="006D3F64" w:rsidRDefault="0064350B" w:rsidP="0064350B">
      <w:pPr>
        <w:pStyle w:val="ListParagraph"/>
        <w:numPr>
          <w:ilvl w:val="0"/>
          <w:numId w:val="9"/>
        </w:numPr>
      </w:pPr>
      <w:r>
        <w:t xml:space="preserve">For Data Holders, an immutable and irrefutable Blockchain-based record of transactions will ease the burden of regulatory compliance and dispute resolution and will encourage consumer confidence in that entity’s Open Banking implementation. </w:t>
      </w:r>
    </w:p>
    <w:p w14:paraId="7B442533" w14:textId="43F18CCA" w:rsidR="0064350B" w:rsidRPr="006D3F64" w:rsidRDefault="0064350B" w:rsidP="0064350B">
      <w:pPr>
        <w:pStyle w:val="ListParagraph"/>
        <w:numPr>
          <w:ilvl w:val="0"/>
          <w:numId w:val="9"/>
        </w:numPr>
      </w:pPr>
      <w:r>
        <w:t xml:space="preserve">For </w:t>
      </w:r>
      <w:r w:rsidR="00107B87">
        <w:t>System Integrators and Solution Providers</w:t>
      </w:r>
      <w:r w:rsidR="003838D5">
        <w:t>,</w:t>
      </w:r>
      <w:r>
        <w:t xml:space="preserve"> the addition of Blockchain mediated data integrity will provide a competitive advantage over alternative Open Banking solution providers. </w:t>
      </w:r>
    </w:p>
    <w:p w14:paraId="00541103" w14:textId="77777777" w:rsidR="0064350B" w:rsidRPr="002D117C" w:rsidRDefault="0064350B" w:rsidP="0064350B">
      <w:pPr>
        <w:rPr>
          <w:b/>
          <w:bCs/>
          <w:sz w:val="28"/>
          <w:szCs w:val="28"/>
        </w:rPr>
      </w:pPr>
      <w:r w:rsidRPr="002D117C">
        <w:rPr>
          <w:b/>
          <w:bCs/>
          <w:sz w:val="28"/>
          <w:szCs w:val="28"/>
        </w:rPr>
        <w:t xml:space="preserve">Regulatory perspective </w:t>
      </w:r>
    </w:p>
    <w:p w14:paraId="341D60C1" w14:textId="77777777" w:rsidR="0064350B" w:rsidRPr="006D3F64" w:rsidRDefault="0064350B" w:rsidP="0064350B">
      <w:r>
        <w:t>R</w:t>
      </w:r>
      <w:r w:rsidRPr="006D3F64">
        <w:t xml:space="preserve">egulators and government bodies across the globe are increasing the burden of compliance when it comes to consumer data. </w:t>
      </w:r>
      <w:r>
        <w:t>Solution providers are under increasing pressure to be capable</w:t>
      </w:r>
      <w:r w:rsidRPr="006D3F64">
        <w:t xml:space="preserve"> </w:t>
      </w:r>
      <w:r>
        <w:t>of proving data integrity and origin.</w:t>
      </w:r>
    </w:p>
    <w:p w14:paraId="66159C96" w14:textId="77777777" w:rsidR="0064350B" w:rsidRPr="006D3F64" w:rsidRDefault="0064350B" w:rsidP="0064350B">
      <w:r>
        <w:t>In Australia, the relevant regulator APRA (</w:t>
      </w:r>
      <w:r w:rsidRPr="002A3A63">
        <w:t>Australian Prudential Regulation Authority</w:t>
      </w:r>
      <w:r>
        <w:t>) has issued the following guidelines (our emphasis)</w:t>
      </w:r>
      <w:r w:rsidRPr="006D3F64">
        <w:t>:</w:t>
      </w:r>
    </w:p>
    <w:p w14:paraId="662511DD" w14:textId="77777777" w:rsidR="0064350B" w:rsidRPr="002D117C" w:rsidRDefault="0064350B" w:rsidP="0064350B">
      <w:pPr>
        <w:ind w:left="720"/>
        <w:rPr>
          <w:i/>
          <w:iCs/>
        </w:rPr>
      </w:pPr>
      <w:r w:rsidRPr="002D117C">
        <w:rPr>
          <w:i/>
          <w:iCs/>
        </w:rPr>
        <w:t xml:space="preserve">Auditability (the ability to </w:t>
      </w:r>
      <w:r w:rsidRPr="002D117C">
        <w:rPr>
          <w:b/>
          <w:bCs/>
          <w:i/>
          <w:iCs/>
        </w:rPr>
        <w:t>confirm the origin of data</w:t>
      </w:r>
      <w:r w:rsidRPr="002D117C">
        <w:rPr>
          <w:i/>
          <w:iCs/>
        </w:rPr>
        <w:t xml:space="preserve"> and provide </w:t>
      </w:r>
      <w:r w:rsidRPr="002D117C">
        <w:rPr>
          <w:b/>
          <w:bCs/>
          <w:i/>
          <w:iCs/>
        </w:rPr>
        <w:t>transparency of all alterations</w:t>
      </w:r>
      <w:r w:rsidRPr="002D117C">
        <w:rPr>
          <w:i/>
          <w:iCs/>
        </w:rPr>
        <w:t xml:space="preserve">) is a key element to verifying data quality. It involves the examination of data and associated audit trail, data architecture and other supporting material. APRA envisages that a regulated entity would ensure that </w:t>
      </w:r>
      <w:r w:rsidRPr="002D117C">
        <w:rPr>
          <w:b/>
          <w:bCs/>
          <w:i/>
          <w:iCs/>
        </w:rPr>
        <w:t>data is sufficiently auditable</w:t>
      </w:r>
      <w:r w:rsidRPr="002D117C">
        <w:rPr>
          <w:i/>
          <w:iCs/>
        </w:rPr>
        <w:t xml:space="preserve"> in order to satisfy the entity's business requirements (including regulatory and legal), facilitate independent audit, assist in </w:t>
      </w:r>
      <w:r w:rsidRPr="002D117C">
        <w:rPr>
          <w:b/>
          <w:bCs/>
          <w:i/>
          <w:iCs/>
        </w:rPr>
        <w:t>dispute resolution</w:t>
      </w:r>
      <w:r w:rsidRPr="002D117C">
        <w:rPr>
          <w:i/>
          <w:iCs/>
        </w:rPr>
        <w:t xml:space="preserve"> (</w:t>
      </w:r>
      <w:r w:rsidRPr="002D117C">
        <w:rPr>
          <w:b/>
          <w:bCs/>
          <w:i/>
          <w:iCs/>
        </w:rPr>
        <w:t>including non-repudiation</w:t>
      </w:r>
      <w:r w:rsidRPr="002D117C">
        <w:rPr>
          <w:i/>
          <w:iCs/>
        </w:rPr>
        <w:t xml:space="preserve">) and assist in </w:t>
      </w:r>
      <w:r w:rsidRPr="002D117C">
        <w:rPr>
          <w:b/>
          <w:bCs/>
          <w:i/>
          <w:iCs/>
        </w:rPr>
        <w:t>the provision of forensic evidence</w:t>
      </w:r>
      <w:r w:rsidRPr="002D117C">
        <w:rPr>
          <w:i/>
          <w:iCs/>
        </w:rPr>
        <w:t xml:space="preserve"> if required.</w:t>
      </w:r>
      <w:r>
        <w:rPr>
          <w:rStyle w:val="FootnoteReference"/>
          <w:i/>
          <w:iCs/>
        </w:rPr>
        <w:footnoteReference w:id="2"/>
      </w:r>
    </w:p>
    <w:p w14:paraId="372B304A" w14:textId="18FFF0A3" w:rsidR="0064350B" w:rsidRDefault="0064350B" w:rsidP="0064350B">
      <w:r>
        <w:lastRenderedPageBreak/>
        <w:t xml:space="preserve">ProvenDB provides the ability to establish the timestamp and integrity (through Blockchain proofs) and ownership (through </w:t>
      </w:r>
      <w:r w:rsidR="00B57F8A">
        <w:t>Public</w:t>
      </w:r>
      <w:r>
        <w:t xml:space="preserve"> Key signatures) of every data element in the database.  As such, ProvenDB – and arguably only ProvenDB – can fully meet the requirements outlined by APRA. </w:t>
      </w:r>
    </w:p>
    <w:p w14:paraId="6B38EDB9" w14:textId="5485EDE0" w:rsidR="0064350B" w:rsidRPr="006D3F64" w:rsidRDefault="0064350B" w:rsidP="0064350B">
      <w:pPr>
        <w:pStyle w:val="Heading1"/>
      </w:pPr>
      <w:r w:rsidRPr="006D3F64">
        <w:t xml:space="preserve">Which Open Banking Data </w:t>
      </w:r>
      <w:r w:rsidR="00B57F8A">
        <w:t>Should</w:t>
      </w:r>
      <w:r w:rsidRPr="006D3F64">
        <w:t xml:space="preserve"> Be Proven?</w:t>
      </w:r>
    </w:p>
    <w:p w14:paraId="0204CCA5" w14:textId="77777777" w:rsidR="0064350B" w:rsidRPr="006D3F64" w:rsidRDefault="0064350B" w:rsidP="0064350B">
      <w:r>
        <w:t>The</w:t>
      </w:r>
      <w:r w:rsidRPr="006D3F64">
        <w:t xml:space="preserve"> following key pieces of Open Banking information could all </w:t>
      </w:r>
      <w:r>
        <w:t xml:space="preserve">be </w:t>
      </w:r>
      <w:r w:rsidRPr="006D3F64">
        <w:t xml:space="preserve">secured </w:t>
      </w:r>
      <w:r>
        <w:t>in</w:t>
      </w:r>
      <w:r w:rsidRPr="006D3F64">
        <w:t xml:space="preserve"> </w:t>
      </w:r>
      <w:r>
        <w:t>ProvenDB</w:t>
      </w:r>
      <w:r w:rsidRPr="006D3F64">
        <w:t xml:space="preserve"> to provide benefits to the consumer, regulator</w:t>
      </w:r>
      <w:r>
        <w:t>,</w:t>
      </w:r>
      <w:r w:rsidRPr="006D3F64">
        <w:t xml:space="preserve"> and data holder.</w:t>
      </w:r>
    </w:p>
    <w:p w14:paraId="0D2B81EE" w14:textId="01652AFF" w:rsidR="0064350B" w:rsidRPr="006D3F64" w:rsidRDefault="0064350B" w:rsidP="0064350B">
      <w:pPr>
        <w:pStyle w:val="ListParagraph"/>
        <w:numPr>
          <w:ilvl w:val="0"/>
          <w:numId w:val="12"/>
        </w:numPr>
      </w:pPr>
      <w:r w:rsidRPr="0064350B">
        <w:rPr>
          <w:b/>
          <w:bCs/>
        </w:rPr>
        <w:t>CDR Data Sets</w:t>
      </w:r>
      <w:r w:rsidRPr="006D3F64">
        <w:t> (</w:t>
      </w:r>
      <w:r w:rsidRPr="0064350B">
        <w:rPr>
          <w:i/>
          <w:iCs/>
        </w:rPr>
        <w:t xml:space="preserve">Accounts, Transactions, Users, </w:t>
      </w:r>
      <w:proofErr w:type="gramStart"/>
      <w:r w:rsidRPr="0064350B">
        <w:rPr>
          <w:i/>
          <w:iCs/>
        </w:rPr>
        <w:t>Products</w:t>
      </w:r>
      <w:r w:rsidR="003838D5">
        <w:rPr>
          <w:i/>
          <w:iCs/>
        </w:rPr>
        <w:t>,</w:t>
      </w:r>
      <w:r w:rsidRPr="0064350B">
        <w:rPr>
          <w:i/>
          <w:iCs/>
        </w:rPr>
        <w:t>...</w:t>
      </w:r>
      <w:proofErr w:type="gramEnd"/>
      <w:r w:rsidRPr="006D3F64">
        <w:t>)</w:t>
      </w:r>
    </w:p>
    <w:p w14:paraId="59242C7A" w14:textId="24B2FB73" w:rsidR="0064350B" w:rsidRPr="006D3F64" w:rsidRDefault="0064350B" w:rsidP="0064350B">
      <w:pPr>
        <w:pStyle w:val="ListParagraph"/>
        <w:numPr>
          <w:ilvl w:val="0"/>
          <w:numId w:val="12"/>
        </w:numPr>
      </w:pPr>
      <w:r w:rsidRPr="0064350B">
        <w:rPr>
          <w:b/>
          <w:bCs/>
        </w:rPr>
        <w:t>Consumer Consent Data</w:t>
      </w:r>
      <w:r w:rsidRPr="006D3F64">
        <w:t> (</w:t>
      </w:r>
      <w:r w:rsidRPr="0064350B">
        <w:rPr>
          <w:i/>
          <w:iCs/>
        </w:rPr>
        <w:t xml:space="preserve">Consent, Authorizations, </w:t>
      </w:r>
      <w:proofErr w:type="gramStart"/>
      <w:r w:rsidRPr="0064350B">
        <w:rPr>
          <w:i/>
          <w:iCs/>
        </w:rPr>
        <w:t>Register</w:t>
      </w:r>
      <w:r w:rsidR="003838D5">
        <w:rPr>
          <w:i/>
          <w:iCs/>
        </w:rPr>
        <w:t>,</w:t>
      </w:r>
      <w:r w:rsidRPr="0064350B">
        <w:rPr>
          <w:i/>
          <w:iCs/>
        </w:rPr>
        <w:t>...</w:t>
      </w:r>
      <w:proofErr w:type="gramEnd"/>
      <w:r w:rsidRPr="006D3F64">
        <w:t>)</w:t>
      </w:r>
    </w:p>
    <w:p w14:paraId="5BCB2AD0" w14:textId="212F1F4D" w:rsidR="0064350B" w:rsidRPr="006D3F64" w:rsidRDefault="0064350B" w:rsidP="0064350B">
      <w:pPr>
        <w:pStyle w:val="ListParagraph"/>
        <w:numPr>
          <w:ilvl w:val="0"/>
          <w:numId w:val="12"/>
        </w:numPr>
      </w:pPr>
      <w:r w:rsidRPr="0064350B">
        <w:rPr>
          <w:b/>
          <w:bCs/>
        </w:rPr>
        <w:t>ACCC Register</w:t>
      </w:r>
      <w:r w:rsidRPr="006D3F64">
        <w:t> (</w:t>
      </w:r>
      <w:r w:rsidRPr="0064350B">
        <w:rPr>
          <w:i/>
          <w:iCs/>
        </w:rPr>
        <w:t xml:space="preserve">Accreditation info, Product Metadata </w:t>
      </w:r>
      <w:proofErr w:type="gramStart"/>
      <w:r w:rsidRPr="0064350B">
        <w:rPr>
          <w:i/>
          <w:iCs/>
        </w:rPr>
        <w:t>Refresh</w:t>
      </w:r>
      <w:r w:rsidR="003838D5">
        <w:rPr>
          <w:i/>
          <w:iCs/>
        </w:rPr>
        <w:t>,</w:t>
      </w:r>
      <w:r w:rsidRPr="0064350B">
        <w:rPr>
          <w:i/>
          <w:iCs/>
        </w:rPr>
        <w:t>...</w:t>
      </w:r>
      <w:proofErr w:type="gramEnd"/>
      <w:r w:rsidRPr="006D3F64">
        <w:t>)</w:t>
      </w:r>
    </w:p>
    <w:p w14:paraId="1C364AB3" w14:textId="77777777" w:rsidR="0064350B" w:rsidRPr="006D3F64" w:rsidRDefault="0064350B" w:rsidP="0064350B">
      <w:r w:rsidRPr="006D3F64">
        <w:t xml:space="preserve">Proving these </w:t>
      </w:r>
      <w:r>
        <w:t>data elements</w:t>
      </w:r>
      <w:r w:rsidRPr="006D3F64">
        <w:t xml:space="preserve"> would allow an Open Banking Solution to confirm the origin </w:t>
      </w:r>
      <w:r>
        <w:t xml:space="preserve">time </w:t>
      </w:r>
      <w:r w:rsidRPr="006D3F64">
        <w:t>and transparency of all alterations during the complete flow of CDR data, from Consumer Request to Account updates.</w:t>
      </w:r>
    </w:p>
    <w:p w14:paraId="69DC8666" w14:textId="77777777" w:rsidR="0064350B" w:rsidRPr="006D3F64" w:rsidRDefault="0064350B" w:rsidP="0064350B">
      <w:pPr>
        <w:pStyle w:val="Heading1"/>
      </w:pPr>
      <w:r w:rsidRPr="006D3F64">
        <w:t>Proposed Integration</w:t>
      </w:r>
    </w:p>
    <w:p w14:paraId="4C1CDAEF" w14:textId="46739921" w:rsidR="0064350B" w:rsidRPr="006D3F64" w:rsidRDefault="0064350B" w:rsidP="0064350B">
      <w:r w:rsidRPr="006D3F64">
        <w:t>No large-scale alterations of the existing Open Banking solution would need to be made</w:t>
      </w:r>
      <w:r>
        <w:t>.</w:t>
      </w:r>
      <w:r w:rsidRPr="006D3F64">
        <w:t xml:space="preserve"> ProvenDB would simply be embedded or attached to the current endpoint as a </w:t>
      </w:r>
      <w:r>
        <w:t>Monitoring and Audit module</w:t>
      </w:r>
      <w:r w:rsidRPr="006D3F64">
        <w:t xml:space="preserve">. </w:t>
      </w:r>
      <w:r w:rsidR="00F37FE7">
        <w:t>A</w:t>
      </w:r>
      <w:r w:rsidRPr="006D3F64">
        <w:t xml:space="preserve">lthough there are some differences in the IT ecosystem, in </w:t>
      </w:r>
      <w:r w:rsidR="00B57F8A">
        <w:t>an</w:t>
      </w:r>
      <w:r w:rsidRPr="006D3F64">
        <w:t xml:space="preserve"> Open Banking </w:t>
      </w:r>
      <w:r w:rsidR="00B57F8A">
        <w:t>architecture</w:t>
      </w:r>
      <w:r w:rsidR="003838D5">
        <w:t>,</w:t>
      </w:r>
      <w:r w:rsidRPr="006D3F64">
        <w:t xml:space="preserve"> there is always</w:t>
      </w:r>
      <w:r>
        <w:t xml:space="preserve"> a </w:t>
      </w:r>
      <w:r w:rsidRPr="006D3F64">
        <w:t xml:space="preserve">Monitoring Audit </w:t>
      </w:r>
      <w:r>
        <w:t>component</w:t>
      </w:r>
      <w:r w:rsidRPr="006D3F64">
        <w:t xml:space="preserve"> in the integration space</w:t>
      </w:r>
      <w:r w:rsidR="00F37FE7">
        <w:rPr>
          <w:rStyle w:val="FootnoteReference"/>
          <w:rFonts w:ascii="Times New Roman" w:eastAsia="Times New Roman" w:hAnsi="Times New Roman" w:cs="Times New Roman"/>
        </w:rPr>
        <w:footnoteReference w:id="3"/>
      </w:r>
      <w:r w:rsidRPr="006D3F64">
        <w:t>, for example:</w:t>
      </w:r>
    </w:p>
    <w:p w14:paraId="0A07E18A" w14:textId="77777777" w:rsidR="0064350B" w:rsidRPr="006D3F64" w:rsidRDefault="0064350B" w:rsidP="0064350B">
      <w:pPr>
        <w:pStyle w:val="NormalWeb"/>
      </w:pPr>
      <w:r w:rsidRPr="006D3F64">
        <w:fldChar w:fldCharType="begin"/>
      </w:r>
      <w:r w:rsidRPr="006D3F64">
        <w:instrText xml:space="preserve"> INCLUDEPICTURE "https://s3-us-west-2.amazonaws.com/secure.notion-static.com/a68bcd23-3f50-4e8e-b3ee-bd675552ba5a/Untitled.png" \* MERGEFORMATINET </w:instrText>
      </w:r>
      <w:r w:rsidRPr="006D3F64">
        <w:fldChar w:fldCharType="separate"/>
      </w:r>
      <w:r w:rsidRPr="006D3F64">
        <w:rPr>
          <w:noProof/>
        </w:rPr>
        <mc:AlternateContent>
          <mc:Choice Requires="wps">
            <w:drawing>
              <wp:inline distT="0" distB="0" distL="0" distR="0" wp14:anchorId="28897586" wp14:editId="3C6E6435">
                <wp:extent cx="307975" cy="307975"/>
                <wp:effectExtent l="0" t="0" r="0" b="0"/>
                <wp:docPr id="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AC011B" id="Rectangle 5"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" filled="f" stroked="f">
                <o:lock v:ext="edit" aspectratio="t"/>
                <w10:anchorlock/>
              </v:rect>
            </w:pict>
          </mc:Fallback>
        </mc:AlternateContent>
      </w:r>
      <w:r w:rsidRPr="006D3F64">
        <w:fldChar w:fldCharType="end"/>
      </w:r>
      <w:r w:rsidRPr="006D3F64">
        <w:fldChar w:fldCharType="begin"/>
      </w:r>
      <w:r w:rsidRPr="006D3F64">
        <w:instrText xml:space="preserve"> INCLUDEPICTURE "https://s3-us-west-2.amazonaws.com/secure.notion-static.com/a68bcd23-3f50-4e8e-b3ee-bd675552ba5a/Untitled.png" \* MERGEFORMATINET </w:instrText>
      </w:r>
      <w:r w:rsidRPr="006D3F64">
        <w:fldChar w:fldCharType="separate"/>
      </w:r>
      <w:r w:rsidRPr="006D3F64">
        <w:rPr>
          <w:noProof/>
        </w:rPr>
        <mc:AlternateContent>
          <mc:Choice Requires="wps">
            <w:drawing>
              <wp:inline distT="0" distB="0" distL="0" distR="0" wp14:anchorId="72070684" wp14:editId="1291D7D0">
                <wp:extent cx="307975" cy="307975"/>
                <wp:effectExtent l="0" t="0" r="0" b="0"/>
                <wp:docPr id="12"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E0465C" id="Rectangle 12"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" filled="f" stroked="f">
                <o:lock v:ext="edit" aspectratio="t"/>
                <w10:anchorlock/>
              </v:rect>
            </w:pict>
          </mc:Fallback>
        </mc:AlternateContent>
      </w:r>
      <w:r w:rsidRPr="006D3F64">
        <w:fldChar w:fldCharType="end"/>
      </w:r>
      <w:r>
        <w:rPr>
          <w:noProof/>
        </w:rPr>
        <w:drawing>
          <wp:inline distT="0" distB="0" distL="0" distR="0" wp14:anchorId="001102BC" wp14:editId="27A2944E">
            <wp:extent cx="4264182" cy="2259260"/>
            <wp:effectExtent l="0" t="0" r="0" b="190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84369" cy="2269956"/>
                    </a:xfrm>
                    <a:prstGeom prst="rect">
                      <a:avLst/>
                    </a:prstGeom>
                  </pic:spPr>
                </pic:pic>
              </a:graphicData>
            </a:graphic>
          </wp:inline>
        </w:drawing>
      </w:r>
    </w:p>
    <w:p w14:paraId="6B640F05" w14:textId="77777777" w:rsidR="0064350B" w:rsidRPr="006D3F64" w:rsidRDefault="0064350B" w:rsidP="0064350B">
      <w:pPr>
        <w:spacing w:before="100" w:beforeAutospacing="1" w:after="100" w:afterAutospacing="1"/>
        <w:rPr>
          <w:rFonts w:ascii="Times New Roman" w:eastAsia="Times New Roman" w:hAnsi="Times New Roman" w:cs="Times New Roman"/>
        </w:rPr>
      </w:pPr>
    </w:p>
    <w:p w14:paraId="78A1333E" w14:textId="2375F8C5" w:rsidR="0064350B" w:rsidRPr="006D3F64" w:rsidRDefault="0064350B" w:rsidP="0064350B">
      <w:r w:rsidRPr="006D3F64">
        <w:lastRenderedPageBreak/>
        <w:t xml:space="preserve">In the same way that this monitoring audit generically attaches to an Open Banking Integration, ProvenDB could attach and provide </w:t>
      </w:r>
      <w:r>
        <w:t>Blockchain</w:t>
      </w:r>
      <w:r w:rsidRPr="006D3F64">
        <w:t>-capable audits of transactions through the system.</w:t>
      </w:r>
    </w:p>
    <w:p w14:paraId="5B37B840" w14:textId="5467694D" w:rsidR="0064350B" w:rsidRDefault="0064350B" w:rsidP="0064350B">
      <w:r w:rsidRPr="006D3F64">
        <w:t xml:space="preserve">As a more specific example of how integration could occur, here is a simplified version </w:t>
      </w:r>
      <w:r>
        <w:t>an</w:t>
      </w:r>
      <w:r w:rsidRPr="006D3F64">
        <w:t xml:space="preserve"> architecture for an Open Banking solution</w:t>
      </w:r>
      <w:r>
        <w:rPr>
          <w:rStyle w:val="FootnoteReference"/>
        </w:rPr>
        <w:footnoteReference w:id="4"/>
      </w:r>
      <w:r>
        <w:t>:</w:t>
      </w:r>
    </w:p>
    <w:p w14:paraId="03A44A4B" w14:textId="4AC21406" w:rsidR="0064350B" w:rsidRPr="006D3F64" w:rsidRDefault="00107B87" w:rsidP="0064350B">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12871A47" wp14:editId="0BF26A9C">
            <wp:extent cx="5760085" cy="4448175"/>
            <wp:effectExtent l="0" t="0" r="571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4448175"/>
                    </a:xfrm>
                    <a:prstGeom prst="rect">
                      <a:avLst/>
                    </a:prstGeom>
                  </pic:spPr>
                </pic:pic>
              </a:graphicData>
            </a:graphic>
          </wp:inline>
        </w:drawing>
      </w:r>
    </w:p>
    <w:p w14:paraId="5B57892F" w14:textId="6DF0AAFA" w:rsidR="0064350B" w:rsidRPr="006D3F64" w:rsidRDefault="0064350B" w:rsidP="0064350B">
      <w:r w:rsidRPr="006D3F64">
        <w:t xml:space="preserve">In the diagram above, the only new element added is the ProvenDB </w:t>
      </w:r>
      <w:r>
        <w:t xml:space="preserve">Blockchain </w:t>
      </w:r>
      <w:r w:rsidRPr="006D3F64">
        <w:t>Audit</w:t>
      </w:r>
      <w:r>
        <w:t xml:space="preserve"> module</w:t>
      </w:r>
      <w:r w:rsidRPr="006D3F64">
        <w:t xml:space="preserve"> (</w:t>
      </w:r>
      <w:r w:rsidRPr="006D3F64">
        <w:rPr>
          <w:i/>
          <w:iCs/>
        </w:rPr>
        <w:t>in purple</w:t>
      </w:r>
      <w:r w:rsidRPr="006D3F64">
        <w:t xml:space="preserve">), everything above this already exists in the solution, meaning little to no functional modifications would be required to add </w:t>
      </w:r>
      <w:proofErr w:type="gramStart"/>
      <w:r>
        <w:t xml:space="preserve">Blockchain </w:t>
      </w:r>
      <w:r w:rsidRPr="006D3F64">
        <w:t xml:space="preserve"> capabilities</w:t>
      </w:r>
      <w:proofErr w:type="gramEnd"/>
      <w:r w:rsidRPr="006D3F64">
        <w:t>. The ProvenDB module would serve as a middle point between the API Manager, the Streaming Processor, the Data Lake</w:t>
      </w:r>
      <w:r>
        <w:t>,</w:t>
      </w:r>
      <w:r w:rsidRPr="006D3F64">
        <w:t xml:space="preserve"> and the </w:t>
      </w:r>
      <w:r>
        <w:t>Blockchain.</w:t>
      </w:r>
    </w:p>
    <w:p w14:paraId="4836A44B" w14:textId="0909E8D8" w:rsidR="0064350B" w:rsidRPr="006D3F64" w:rsidRDefault="0064350B" w:rsidP="0064350B">
      <w:pPr>
        <w:pStyle w:val="ListParagraph"/>
        <w:numPr>
          <w:ilvl w:val="0"/>
          <w:numId w:val="13"/>
        </w:numPr>
      </w:pPr>
      <w:r w:rsidRPr="006D3F64">
        <w:t>Calls to the API manager</w:t>
      </w:r>
      <w:r>
        <w:t xml:space="preserve"> for</w:t>
      </w:r>
      <w:r w:rsidRPr="006D3F64">
        <w:t xml:space="preserve"> consent or banking requests could be forwarded to the ProvenDB Audit, which would regularly create </w:t>
      </w:r>
      <w:r>
        <w:t xml:space="preserve">Blockchain </w:t>
      </w:r>
      <w:r w:rsidRPr="006D3F64">
        <w:t>proofs of these requests.</w:t>
      </w:r>
    </w:p>
    <w:p w14:paraId="7349B160" w14:textId="44DC1D86" w:rsidR="0064350B" w:rsidRPr="006D3F64" w:rsidRDefault="0064350B" w:rsidP="0064350B">
      <w:pPr>
        <w:pStyle w:val="ListParagraph"/>
        <w:numPr>
          <w:ilvl w:val="0"/>
          <w:numId w:val="13"/>
        </w:numPr>
      </w:pPr>
      <w:r w:rsidRPr="006D3F64">
        <w:t>The Streaming Processor could also forward internal logging information, to create an immutable audit trail for the system itself.</w:t>
      </w:r>
    </w:p>
    <w:p w14:paraId="6D26B1CC" w14:textId="4B657C50" w:rsidR="0064350B" w:rsidRPr="006D3F64" w:rsidRDefault="0064350B" w:rsidP="0064350B">
      <w:pPr>
        <w:pStyle w:val="ListParagraph"/>
        <w:numPr>
          <w:ilvl w:val="0"/>
          <w:numId w:val="13"/>
        </w:numPr>
      </w:pPr>
      <w:r w:rsidRPr="006D3F64">
        <w:lastRenderedPageBreak/>
        <w:t>The CDR Data</w:t>
      </w:r>
      <w:r>
        <w:t>,</w:t>
      </w:r>
      <w:r w:rsidRPr="006D3F64">
        <w:t xml:space="preserve"> which is being replicated into the data lake and consumed by the Enterprise </w:t>
      </w:r>
      <w:r>
        <w:t>I</w:t>
      </w:r>
      <w:r w:rsidRPr="006D3F64">
        <w:t>ntegrator</w:t>
      </w:r>
      <w:r>
        <w:t>,</w:t>
      </w:r>
      <w:r w:rsidRPr="006D3F64">
        <w:t xml:space="preserve"> could also be forwarded to the </w:t>
      </w:r>
      <w:r>
        <w:t>Blockchain A</w:t>
      </w:r>
      <w:r w:rsidRPr="006D3F64">
        <w:t>udit in the form of a changelog, allowing the CDR data itself to have a tamper-</w:t>
      </w:r>
      <w:r>
        <w:t>evident</w:t>
      </w:r>
      <w:r w:rsidRPr="006D3F64">
        <w:t xml:space="preserve"> record.</w:t>
      </w:r>
    </w:p>
    <w:p w14:paraId="54E3D805" w14:textId="77777777" w:rsidR="0064350B" w:rsidRDefault="0064350B" w:rsidP="0064350B">
      <w:pPr>
        <w:rPr>
          <w:rFonts w:ascii="Times New Roman" w:eastAsia="Times New Roman" w:hAnsi="Times New Roman" w:cs="Times New Roman"/>
          <w:b/>
          <w:bCs/>
          <w:sz w:val="28"/>
          <w:szCs w:val="28"/>
        </w:rPr>
      </w:pPr>
      <w:r w:rsidRPr="006D3F64">
        <w:t>The advantage of this integrated approach is that the scope, scale</w:t>
      </w:r>
      <w:r>
        <w:t>,</w:t>
      </w:r>
      <w:r w:rsidRPr="006D3F64">
        <w:t xml:space="preserve"> and specifics of the data anchored on the </w:t>
      </w:r>
      <w:r>
        <w:t xml:space="preserve">Blockchain </w:t>
      </w:r>
      <w:r w:rsidRPr="006D3F64">
        <w:t>will not change the implementation</w:t>
      </w:r>
      <w:r>
        <w:t>.</w:t>
      </w:r>
    </w:p>
    <w:p w14:paraId="6A65344E" w14:textId="402E8CFF" w:rsidR="0064350B" w:rsidRPr="002D117C" w:rsidRDefault="0064350B" w:rsidP="0064350B">
      <w:pPr>
        <w:pStyle w:val="Heading1"/>
      </w:pPr>
      <w:r w:rsidRPr="002D117C">
        <w:t>Conclusion</w:t>
      </w:r>
    </w:p>
    <w:p w14:paraId="3151E252" w14:textId="5C3669A4" w:rsidR="0045572C" w:rsidRPr="00917866" w:rsidRDefault="0064350B" w:rsidP="0064350B">
      <w:r>
        <w:t xml:space="preserve">Although Blockchain is a relatively nascent technology, it already represents the gold standard for data integrity and provenance. </w:t>
      </w:r>
      <w:del w:id="14" w:author="Ignatius Bourke" w:date="2020-02-11T16:51:00Z">
        <w:r w:rsidDel="00F50B0E">
          <w:delText xml:space="preserve"> </w:delText>
        </w:r>
      </w:del>
      <w:r>
        <w:t>The technological advantages of Blockchain in Open Banking and Consumer Data Rights are clear.  The desire for increased data integrity within the Banking industry following the Australian Banking Royal Commission is very strong.  We believe</w:t>
      </w:r>
      <w:r w:rsidR="003838D5">
        <w:t>,</w:t>
      </w:r>
      <w:r>
        <w:t xml:space="preserve"> therefore, that Blockchain integration can offer competitive advantages within any Open Banking solution and that ProvenDB technology offers a fast path to </w:t>
      </w:r>
      <w:r w:rsidR="00107B87">
        <w:t xml:space="preserve">enabling </w:t>
      </w:r>
      <w:r>
        <w:t>those</w:t>
      </w:r>
      <w:r w:rsidR="009D4AD7">
        <w:t xml:space="preserve"> </w:t>
      </w:r>
      <w:r w:rsidR="00107B87">
        <w:t>capabilities.</w:t>
      </w:r>
    </w:p>
    <w:p w14:paraId="070CA521" w14:textId="31C74234" w:rsidR="00961530" w:rsidRPr="009D4AD7" w:rsidRDefault="009D4AD7" w:rsidP="009D4AD7">
      <w:pPr>
        <w:rPr>
          <w:i/>
          <w:iCs/>
          <w:sz w:val="18"/>
          <w:szCs w:val="20"/>
        </w:rPr>
        <w:sectPr w:rsidR="00961530" w:rsidRPr="009D4AD7" w:rsidSect="0021204B">
          <w:headerReference w:type="even" r:id="rId11"/>
          <w:headerReference w:type="default" r:id="rId12"/>
          <w:footerReference w:type="default" r:id="rId13"/>
          <w:headerReference w:type="first" r:id="rId14"/>
          <w:footerReference w:type="first" r:id="rId15"/>
          <w:pgSz w:w="11907" w:h="16839" w:code="9"/>
          <w:pgMar w:top="1134" w:right="1418" w:bottom="1077" w:left="1418" w:header="720" w:footer="720" w:gutter="0"/>
          <w:pgNumType w:start="0"/>
          <w:cols w:space="720"/>
          <w:titlePg/>
          <w:docGrid w:linePitch="360"/>
        </w:sectPr>
      </w:pPr>
      <w:r w:rsidRPr="009D4AD7">
        <w:rPr>
          <w:i/>
          <w:iCs/>
          <w:sz w:val="18"/>
          <w:szCs w:val="20"/>
        </w:rPr>
        <w:t>Eliminate</w:t>
      </w:r>
      <w:r w:rsidR="005D49BE" w:rsidRPr="009D4AD7">
        <w:rPr>
          <w:i/>
          <w:iCs/>
          <w:sz w:val="18"/>
          <w:szCs w:val="20"/>
        </w:rPr>
        <w:t xml:space="preserve"> the costs and risks involved in regulatory compliance with ProvenDB Compliance Vault.</w:t>
      </w:r>
      <w:r w:rsidR="005D49BE" w:rsidRPr="009D4AD7">
        <w:rPr>
          <w:i/>
          <w:iCs/>
          <w:sz w:val="18"/>
          <w:szCs w:val="20"/>
        </w:rPr>
        <w:br/>
        <w:t xml:space="preserve">Visit </w:t>
      </w:r>
      <w:hyperlink r:id="rId16" w:history="1">
        <w:r w:rsidR="005D49BE" w:rsidRPr="009D4AD7">
          <w:rPr>
            <w:rStyle w:val="Hyperlink"/>
            <w:i/>
            <w:iCs/>
            <w:sz w:val="18"/>
            <w:szCs w:val="20"/>
          </w:rPr>
          <w:t>www.provendb.com</w:t>
        </w:r>
      </w:hyperlink>
      <w:r w:rsidR="005D49BE" w:rsidRPr="009D4AD7">
        <w:rPr>
          <w:i/>
          <w:iCs/>
          <w:sz w:val="18"/>
          <w:szCs w:val="20"/>
        </w:rPr>
        <w:t xml:space="preserve"> to sign up for a ProvenDB cloud service, or email us at </w:t>
      </w:r>
      <w:hyperlink r:id="rId17" w:history="1">
        <w:r w:rsidR="005D49BE" w:rsidRPr="009D4AD7">
          <w:rPr>
            <w:rStyle w:val="Hyperlink"/>
            <w:i/>
            <w:iCs/>
            <w:sz w:val="18"/>
            <w:szCs w:val="20"/>
          </w:rPr>
          <w:t>support@provendb.com</w:t>
        </w:r>
      </w:hyperlink>
      <w:r w:rsidR="005D49BE" w:rsidRPr="009D4AD7">
        <w:rPr>
          <w:i/>
          <w:iCs/>
          <w:color w:val="34B3D4"/>
          <w:sz w:val="18"/>
          <w:szCs w:val="20"/>
        </w:rPr>
        <w:br/>
      </w:r>
      <w:r w:rsidR="005D49BE" w:rsidRPr="009D4AD7">
        <w:rPr>
          <w:i/>
          <w:iCs/>
          <w:sz w:val="18"/>
          <w:szCs w:val="20"/>
        </w:rPr>
        <w:t xml:space="preserve">to explore options for deploying ProvenDB </w:t>
      </w:r>
      <w:r w:rsidRPr="009D4AD7">
        <w:rPr>
          <w:i/>
          <w:iCs/>
          <w:sz w:val="18"/>
          <w:szCs w:val="20"/>
        </w:rPr>
        <w:t xml:space="preserve">Compliance Vault </w:t>
      </w:r>
      <w:r w:rsidR="005D49BE" w:rsidRPr="009D4AD7">
        <w:rPr>
          <w:i/>
          <w:iCs/>
          <w:sz w:val="18"/>
          <w:szCs w:val="20"/>
        </w:rPr>
        <w:t>within your organization.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7"/>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5F6CC"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A4547E"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F4E3F4"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A5E3B9"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A45C3"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22"/>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162CBD"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D9D38D" w14:textId="77777777" w:rsidR="00C8517C" w:rsidRDefault="00C8517C">
      <w:pPr>
        <w:spacing w:after="0" w:line="240" w:lineRule="auto"/>
      </w:pPr>
      <w:r>
        <w:separator/>
      </w:r>
    </w:p>
    <w:p w14:paraId="7B95BDB5" w14:textId="77777777" w:rsidR="00C8517C" w:rsidRDefault="00C8517C"/>
  </w:endnote>
  <w:endnote w:type="continuationSeparator" w:id="0">
    <w:p w14:paraId="04653D2B" w14:textId="77777777" w:rsidR="00C8517C" w:rsidRDefault="00C8517C">
      <w:pPr>
        <w:spacing w:after="0" w:line="240" w:lineRule="auto"/>
      </w:pPr>
      <w:r>
        <w:continuationSeparator/>
      </w:r>
    </w:p>
    <w:p w14:paraId="3AE8609B" w14:textId="77777777" w:rsidR="00C8517C" w:rsidRDefault="00C851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Roboto Light">
    <w:panose1 w:val="02000000000000000000"/>
    <w:charset w:val="00"/>
    <w:family w:val="auto"/>
    <w:pitch w:val="variable"/>
    <w:sig w:usb0="E00002FF" w:usb1="5000205B" w:usb2="00000020" w:usb3="00000000" w:csb0="0000019F" w:csb1="00000000"/>
  </w:font>
  <w:font w:name="Poppins Medium">
    <w:panose1 w:val="00000600000000000000"/>
    <w:charset w:val="4D"/>
    <w:family w:val="auto"/>
    <w:pitch w:val="variable"/>
    <w:sig w:usb0="00008007" w:usb1="00000000" w:usb2="00000000" w:usb3="00000000" w:csb0="00000093" w:csb1="00000000"/>
  </w:font>
  <w:font w:name="Times New Roman (Body CS)">
    <w:altName w:val="Times New Roman"/>
    <w:panose1 w:val="020B0604020202020204"/>
    <w:charset w:val="00"/>
    <w:family w:val="roman"/>
    <w:notTrueType/>
    <w:pitch w:val="default"/>
  </w:font>
  <w:font w:name="Poppins">
    <w:panose1 w:val="020B0604020202020204"/>
    <w:charset w:val="4D"/>
    <w:family w:val="auto"/>
    <w:pitch w:val="variable"/>
    <w:sig w:usb0="00008007" w:usb1="00000000" w:usb2="00000000" w:usb3="00000000" w:csb0="00000093" w:csb1="00000000"/>
  </w:font>
  <w:font w:name="Microsoft YaHei">
    <w:altName w:val="微软雅黑"/>
    <w:panose1 w:val="020B0503020204020204"/>
    <w:charset w:val="86"/>
    <w:family w:val="swiss"/>
    <w:pitch w:val="variable"/>
    <w:sig w:usb0="80000287" w:usb1="28CF3C52" w:usb2="00000016" w:usb3="00000000" w:csb0="0004001F" w:csb1="00000000"/>
  </w:font>
  <w:font w:name="Times New Roman (Headings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B79362" w14:textId="77777777" w:rsidR="00C8517C" w:rsidRDefault="00C8517C">
      <w:pPr>
        <w:spacing w:after="0" w:line="240" w:lineRule="auto"/>
      </w:pPr>
      <w:r>
        <w:separator/>
      </w:r>
    </w:p>
    <w:p w14:paraId="519DF323" w14:textId="77777777" w:rsidR="00C8517C" w:rsidRDefault="00C8517C"/>
  </w:footnote>
  <w:footnote w:type="continuationSeparator" w:id="0">
    <w:p w14:paraId="345C4630" w14:textId="77777777" w:rsidR="00C8517C" w:rsidRDefault="00C8517C">
      <w:pPr>
        <w:spacing w:after="0" w:line="240" w:lineRule="auto"/>
      </w:pPr>
      <w:r>
        <w:continuationSeparator/>
      </w:r>
    </w:p>
    <w:p w14:paraId="52FD71C8" w14:textId="77777777" w:rsidR="00C8517C" w:rsidRDefault="00C8517C"/>
  </w:footnote>
  <w:footnote w:id="1">
    <w:p w14:paraId="0EE85B08" w14:textId="77777777" w:rsidR="0064350B" w:rsidRDefault="0064350B" w:rsidP="0064350B">
      <w:pPr>
        <w:pStyle w:val="FootnoteText"/>
      </w:pPr>
      <w:r>
        <w:rPr>
          <w:rStyle w:val="FootnoteReference"/>
        </w:rPr>
        <w:footnoteRef/>
      </w:r>
      <w:r>
        <w:t xml:space="preserve"> </w:t>
      </w:r>
      <w:hyperlink r:id="rId1" w:history="1">
        <w:r>
          <w:rPr>
            <w:rStyle w:val="Hyperlink"/>
          </w:rPr>
          <w:t>https://provendb.com/homepage/litepaper/</w:t>
        </w:r>
      </w:hyperlink>
    </w:p>
  </w:footnote>
  <w:footnote w:id="2">
    <w:p w14:paraId="02F8F4B6" w14:textId="77777777" w:rsidR="0064350B" w:rsidRPr="00B57F8A" w:rsidRDefault="0064350B" w:rsidP="0064350B">
      <w:pPr>
        <w:numPr>
          <w:ilvl w:val="0"/>
          <w:numId w:val="8"/>
        </w:numPr>
        <w:spacing w:before="100" w:beforeAutospacing="1" w:after="100" w:afterAutospacing="1" w:line="240" w:lineRule="auto"/>
        <w:jc w:val="left"/>
        <w:rPr>
          <w:rFonts w:eastAsia="Times New Roman" w:cs="Poppins"/>
          <w:sz w:val="16"/>
          <w:szCs w:val="16"/>
        </w:rPr>
      </w:pPr>
      <w:r w:rsidRPr="00B57F8A">
        <w:rPr>
          <w:rStyle w:val="FootnoteReference"/>
          <w:rFonts w:cs="Poppins"/>
          <w:sz w:val="16"/>
          <w:szCs w:val="16"/>
        </w:rPr>
        <w:footnoteRef/>
      </w:r>
      <w:r w:rsidRPr="00B57F8A">
        <w:rPr>
          <w:rFonts w:cs="Poppins"/>
          <w:sz w:val="16"/>
          <w:szCs w:val="16"/>
        </w:rPr>
        <w:t xml:space="preserve"> </w:t>
      </w:r>
      <w:hyperlink r:id="rId2" w:history="1">
        <w:r w:rsidRPr="00B57F8A">
          <w:rPr>
            <w:rFonts w:eastAsia="Times New Roman" w:cs="Poppins"/>
            <w:b/>
            <w:bCs/>
            <w:color w:val="0000FF"/>
            <w:sz w:val="16"/>
            <w:szCs w:val="16"/>
            <w:u w:val="single"/>
          </w:rPr>
          <w:t>APRA</w:t>
        </w:r>
      </w:hyperlink>
      <w:r w:rsidRPr="00B57F8A">
        <w:rPr>
          <w:rFonts w:eastAsia="Times New Roman" w:cs="Poppins"/>
          <w:sz w:val="16"/>
          <w:szCs w:val="16"/>
        </w:rPr>
        <w:t xml:space="preserve">, </w:t>
      </w:r>
      <w:hyperlink r:id="rId3" w:history="1">
        <w:r w:rsidRPr="00B57F8A">
          <w:rPr>
            <w:rFonts w:eastAsia="Times New Roman" w:cs="Poppins"/>
            <w:i/>
            <w:iCs/>
            <w:color w:val="0000FF"/>
            <w:sz w:val="16"/>
            <w:szCs w:val="16"/>
            <w:u w:val="single"/>
          </w:rPr>
          <w:t>The Prudential Practice Guide CPG 235 — Managing Data Risk)</w:t>
        </w:r>
      </w:hyperlink>
      <w:r w:rsidRPr="00B57F8A">
        <w:rPr>
          <w:rFonts w:eastAsia="Times New Roman" w:cs="Poppins"/>
          <w:i/>
          <w:iCs/>
          <w:sz w:val="16"/>
          <w:szCs w:val="16"/>
        </w:rPr>
        <w:t>.</w:t>
      </w:r>
    </w:p>
    <w:p w14:paraId="23D0A370" w14:textId="77777777" w:rsidR="0064350B" w:rsidRDefault="0064350B" w:rsidP="0064350B">
      <w:pPr>
        <w:pStyle w:val="FootnoteText"/>
      </w:pPr>
    </w:p>
  </w:footnote>
  <w:footnote w:id="3">
    <w:p w14:paraId="2783A903" w14:textId="77777777" w:rsidR="00F37FE7" w:rsidRDefault="00F37FE7" w:rsidP="00F37FE7">
      <w:pPr>
        <w:pStyle w:val="FootnoteText"/>
      </w:pPr>
    </w:p>
  </w:footnote>
  <w:footnote w:id="4">
    <w:p w14:paraId="35C10C93" w14:textId="77777777" w:rsidR="0064350B" w:rsidRDefault="0064350B" w:rsidP="0064350B">
      <w:pPr>
        <w:spacing w:before="0" w:after="0"/>
        <w:jc w:val="left"/>
        <w:rPr>
          <w:rFonts w:ascii="Times New Roman" w:hAnsi="Times New Roman"/>
          <w:color w:val="auto"/>
        </w:rPr>
      </w:pPr>
      <w:r>
        <w:rPr>
          <w:rStyle w:val="FootnoteReference"/>
        </w:rPr>
        <w:footnoteRef/>
      </w:r>
      <w:r>
        <w:t xml:space="preserve"> </w:t>
      </w:r>
      <w:hyperlink r:id="rId4" w:history="1">
        <w:r w:rsidRPr="0064350B">
          <w:rPr>
            <w:rStyle w:val="Hyperlink"/>
            <w:sz w:val="16"/>
            <w:szCs w:val="16"/>
          </w:rPr>
          <w:t>https://medium.com/@dassana.p.wijesekara/end-to-end-architecture-fit-of-wso2-open-banking-solution-for-australia-f84ae87fa832</w:t>
        </w:r>
      </w:hyperlink>
    </w:p>
    <w:p w14:paraId="08560C1C" w14:textId="4A0C39F2" w:rsidR="0064350B" w:rsidRDefault="0064350B">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CB32B" w14:textId="55E9F660" w:rsidR="006D4AE7" w:rsidRDefault="00C8517C">
    <w:pPr>
      <w:pStyle w:val="Header"/>
    </w:pPr>
    <w:r>
      <w:rPr>
        <w:noProof/>
      </w:rPr>
      <w:pict w14:anchorId="0700A2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word-cover"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C8517C">
      <w:rPr>
        <w:noProof/>
      </w:rPr>
      <w:pict w14:anchorId="0E58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word-cover"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C8517C">
    <w:pPr>
      <w:pStyle w:val="Header"/>
    </w:pPr>
    <w:r>
      <w:rPr>
        <w:noProof/>
      </w:rPr>
      <w:pict w14:anchorId="2E22F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word-cover"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3F04EC"/>
    <w:multiLevelType w:val="hybridMultilevel"/>
    <w:tmpl w:val="F38AA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BE64D38"/>
    <w:multiLevelType w:val="multilevel"/>
    <w:tmpl w:val="1FCE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376B24"/>
    <w:multiLevelType w:val="multilevel"/>
    <w:tmpl w:val="08E48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987DC1"/>
    <w:multiLevelType w:val="hybridMultilevel"/>
    <w:tmpl w:val="650E5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8302A86"/>
    <w:multiLevelType w:val="multilevel"/>
    <w:tmpl w:val="06C8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9" w15:restartNumberingAfterBreak="0">
    <w:nsid w:val="635D20C2"/>
    <w:multiLevelType w:val="multilevel"/>
    <w:tmpl w:val="BA44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0F071F5"/>
    <w:multiLevelType w:val="hybridMultilevel"/>
    <w:tmpl w:val="16563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2"/>
  </w:num>
  <w:num w:numId="4">
    <w:abstractNumId w:val="0"/>
  </w:num>
  <w:num w:numId="5">
    <w:abstractNumId w:val="10"/>
  </w:num>
  <w:num w:numId="6">
    <w:abstractNumId w:val="12"/>
  </w:num>
  <w:num w:numId="7">
    <w:abstractNumId w:val="3"/>
  </w:num>
  <w:num w:numId="8">
    <w:abstractNumId w:val="9"/>
  </w:num>
  <w:num w:numId="9">
    <w:abstractNumId w:val="6"/>
  </w:num>
  <w:num w:numId="10">
    <w:abstractNumId w:val="7"/>
  </w:num>
  <w:num w:numId="11">
    <w:abstractNumId w:val="4"/>
  </w:num>
  <w:num w:numId="12">
    <w:abstractNumId w:val="11"/>
  </w:num>
  <w:num w:numId="1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gnatius Bourke">
    <w15:presenceInfo w15:providerId="Windows Live" w15:userId="bb72b73df24acc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kwqQUAJJ7H1ywAAAA="/>
  </w:docVars>
  <w:rsids>
    <w:rsidRoot w:val="000C1708"/>
    <w:rsid w:val="00035074"/>
    <w:rsid w:val="000B5585"/>
    <w:rsid w:val="000C1708"/>
    <w:rsid w:val="000E3216"/>
    <w:rsid w:val="00107B87"/>
    <w:rsid w:val="001126E4"/>
    <w:rsid w:val="00113550"/>
    <w:rsid w:val="001B0B9B"/>
    <w:rsid w:val="001C09C1"/>
    <w:rsid w:val="001D2268"/>
    <w:rsid w:val="001E756B"/>
    <w:rsid w:val="0021204B"/>
    <w:rsid w:val="00225AE7"/>
    <w:rsid w:val="00226EBD"/>
    <w:rsid w:val="00235501"/>
    <w:rsid w:val="0026055D"/>
    <w:rsid w:val="002E5B0D"/>
    <w:rsid w:val="002E76A5"/>
    <w:rsid w:val="002F2A2F"/>
    <w:rsid w:val="002F3763"/>
    <w:rsid w:val="0030619B"/>
    <w:rsid w:val="00313927"/>
    <w:rsid w:val="00336BD2"/>
    <w:rsid w:val="00342A69"/>
    <w:rsid w:val="00381A67"/>
    <w:rsid w:val="003838D5"/>
    <w:rsid w:val="003B6688"/>
    <w:rsid w:val="004025F3"/>
    <w:rsid w:val="0045572C"/>
    <w:rsid w:val="004D397B"/>
    <w:rsid w:val="005415BF"/>
    <w:rsid w:val="005978DE"/>
    <w:rsid w:val="005D49BE"/>
    <w:rsid w:val="00616F76"/>
    <w:rsid w:val="0064350B"/>
    <w:rsid w:val="00646E92"/>
    <w:rsid w:val="0066153C"/>
    <w:rsid w:val="00674E40"/>
    <w:rsid w:val="006B7656"/>
    <w:rsid w:val="006C62E9"/>
    <w:rsid w:val="006C6688"/>
    <w:rsid w:val="006D4AE7"/>
    <w:rsid w:val="006E57DD"/>
    <w:rsid w:val="006E60FB"/>
    <w:rsid w:val="00737734"/>
    <w:rsid w:val="007405DC"/>
    <w:rsid w:val="007E3379"/>
    <w:rsid w:val="00820A59"/>
    <w:rsid w:val="008439DB"/>
    <w:rsid w:val="008B40FE"/>
    <w:rsid w:val="008C237E"/>
    <w:rsid w:val="008E7251"/>
    <w:rsid w:val="00917866"/>
    <w:rsid w:val="00941112"/>
    <w:rsid w:val="00961530"/>
    <w:rsid w:val="00994730"/>
    <w:rsid w:val="009C184F"/>
    <w:rsid w:val="009D4AD7"/>
    <w:rsid w:val="009F32E5"/>
    <w:rsid w:val="00A315AD"/>
    <w:rsid w:val="00A3589C"/>
    <w:rsid w:val="00AF5569"/>
    <w:rsid w:val="00AF639A"/>
    <w:rsid w:val="00B07E77"/>
    <w:rsid w:val="00B36606"/>
    <w:rsid w:val="00B57F8A"/>
    <w:rsid w:val="00B94CF5"/>
    <w:rsid w:val="00BC3C43"/>
    <w:rsid w:val="00BD0F90"/>
    <w:rsid w:val="00BE044B"/>
    <w:rsid w:val="00BE6CE4"/>
    <w:rsid w:val="00BE6EB9"/>
    <w:rsid w:val="00C24C6E"/>
    <w:rsid w:val="00C8517C"/>
    <w:rsid w:val="00CD1FC3"/>
    <w:rsid w:val="00D04BD8"/>
    <w:rsid w:val="00D14C5A"/>
    <w:rsid w:val="00D82575"/>
    <w:rsid w:val="00D91396"/>
    <w:rsid w:val="00DA781E"/>
    <w:rsid w:val="00E15C88"/>
    <w:rsid w:val="00E75881"/>
    <w:rsid w:val="00E83C34"/>
    <w:rsid w:val="00E8527A"/>
    <w:rsid w:val="00F37FE7"/>
    <w:rsid w:val="00F50B0E"/>
    <w:rsid w:val="00FA14DB"/>
    <w:rsid w:val="00FA6772"/>
    <w:rsid w:val="00FB3BA9"/>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652BC7AD-7493-7644-BD38-FA52B1A7A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A315AD"/>
    <w:pPr>
      <w:spacing w:before="360" w:after="0"/>
      <w:jc w:val="left"/>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15AD"/>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 w:type="paragraph" w:styleId="NormalWeb">
    <w:name w:val="Normal (Web)"/>
    <w:basedOn w:val="Normal"/>
    <w:uiPriority w:val="99"/>
    <w:unhideWhenUsed/>
    <w:rsid w:val="0064350B"/>
    <w:pPr>
      <w:spacing w:before="100" w:beforeAutospacing="1" w:after="100" w:afterAutospacing="1" w:line="240" w:lineRule="auto"/>
      <w:jc w:val="left"/>
    </w:pPr>
    <w:rPr>
      <w:rFonts w:ascii="Times New Roman" w:eastAsia="Times New Roman" w:hAnsi="Times New Roman" w:cs="Times New Roman"/>
      <w:color w:val="auto"/>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1126242712">
      <w:bodyDiv w:val="1"/>
      <w:marLeft w:val="0"/>
      <w:marRight w:val="0"/>
      <w:marTop w:val="0"/>
      <w:marBottom w:val="0"/>
      <w:divBdr>
        <w:top w:val="none" w:sz="0" w:space="0" w:color="auto"/>
        <w:left w:val="none" w:sz="0" w:space="0" w:color="auto"/>
        <w:bottom w:val="none" w:sz="0" w:space="0" w:color="auto"/>
        <w:right w:val="none" w:sz="0" w:space="0" w:color="auto"/>
      </w:divBdr>
    </w:div>
    <w:div w:id="1172796254">
      <w:bodyDiv w:val="1"/>
      <w:marLeft w:val="0"/>
      <w:marRight w:val="0"/>
      <w:marTop w:val="0"/>
      <w:marBottom w:val="0"/>
      <w:divBdr>
        <w:top w:val="none" w:sz="0" w:space="0" w:color="auto"/>
        <w:left w:val="none" w:sz="0" w:space="0" w:color="auto"/>
        <w:bottom w:val="none" w:sz="0" w:space="0" w:color="auto"/>
        <w:right w:val="none" w:sz="0" w:space="0" w:color="auto"/>
      </w:divBdr>
    </w:div>
    <w:div w:id="1426414842">
      <w:bodyDiv w:val="1"/>
      <w:marLeft w:val="0"/>
      <w:marRight w:val="0"/>
      <w:marTop w:val="0"/>
      <w:marBottom w:val="0"/>
      <w:divBdr>
        <w:top w:val="none" w:sz="0" w:space="0" w:color="auto"/>
        <w:left w:val="none" w:sz="0" w:space="0" w:color="auto"/>
        <w:bottom w:val="none" w:sz="0" w:space="0" w:color="auto"/>
        <w:right w:val="none" w:sz="0" w:space="0" w:color="auto"/>
      </w:divBdr>
    </w:div>
    <w:div w:id="2070031219">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hyperlink" Target="https://twitter.com/provendb"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yperlink" Target="mailto:support@provendb.com"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provendb.com" TargetMode="External"/><Relationship Id="rId20" Type="http://schemas.openxmlformats.org/officeDocument/2006/relationships/hyperlink" Target="https://medium.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www.provendb.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hyperlink" Target="https://www.facebook.com/ProvenDB/"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apra.gov.au/sites/default/files/Prudential-Practice-Guide-CPG-235-Managing-Data-Risk_1.pdf" TargetMode="External"/><Relationship Id="rId2" Type="http://schemas.openxmlformats.org/officeDocument/2006/relationships/hyperlink" Target="https://www.apra.gov.au/" TargetMode="External"/><Relationship Id="rId1" Type="http://schemas.openxmlformats.org/officeDocument/2006/relationships/hyperlink" Target="https://provendb.com/homepage/litepaper/" TargetMode="External"/><Relationship Id="rId4" Type="http://schemas.openxmlformats.org/officeDocument/2006/relationships/hyperlink" Target="https://medium.com/@dassana.p.wijesekara/end-to-end-architecture-fit-of-wso2-open-banking-solution-for-australia-f84ae87fa83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5.tiff"/></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5.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E5E77A-DBB4-4C44-AEE7-F5B0FC06C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1290</Words>
  <Characters>7358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Compliance Vault Solution Brief</vt:lpstr>
    </vt:vector>
  </TitlesOfParts>
  <Company/>
  <LinksUpToDate>false</LinksUpToDate>
  <CharactersWithSpaces>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ProvenDB for Provable Open Banking</dc:title>
  <dc:subject/>
  <dc:creator>Kalid Hosni</dc:creator>
  <cp:keywords/>
  <dc:description/>
  <cp:lastModifiedBy>Guy Harrison</cp:lastModifiedBy>
  <cp:revision>2</cp:revision>
  <cp:lastPrinted>2020-02-11T02:42:00Z</cp:lastPrinted>
  <dcterms:created xsi:type="dcterms:W3CDTF">2020-02-12T02:17:00Z</dcterms:created>
  <dcterms:modified xsi:type="dcterms:W3CDTF">2020-02-12T02:17:00Z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